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b/>
          <w:b/>
          <w:bCs/>
        </w:rPr>
      </w:pPr>
      <w:r>
        <w:rPr>
          <w:b/>
          <w:bCs/>
        </w:rPr>
        <w:t>10 INSTRUMENTEN VOOR INTEGRAAL, NATUURINCLUSIEF LANDGOEDBEHEER</w:t>
      </w:r>
    </w:p>
    <w:p>
      <w:pPr>
        <w:pStyle w:val="Normal"/>
        <w:spacing w:lineRule="auto" w:line="360"/>
        <w:rPr>
          <w:b/>
          <w:b/>
          <w:bCs/>
        </w:rPr>
      </w:pPr>
      <w:r>
        <w:rPr>
          <w:b/>
          <w:bCs/>
        </w:rPr>
      </w:r>
    </w:p>
    <w:p>
      <w:pPr>
        <w:pStyle w:val="NormalWeb"/>
        <w:numPr>
          <w:ilvl w:val="0"/>
          <w:numId w:val="1"/>
        </w:numPr>
        <w:spacing w:lineRule="auto" w:line="360" w:before="280" w:after="0"/>
        <w:rPr/>
      </w:pPr>
      <w:r>
        <w:rPr/>
        <w:t xml:space="preserve">Het </w:t>
      </w:r>
      <w:r>
        <w:rPr>
          <w:i/>
        </w:rPr>
        <w:t>Landgoedvenster</w:t>
      </w:r>
      <w:r>
        <w:rPr/>
        <w:t xml:space="preserve"> is een online instrument dat helpt bij het inventariseren en duiden van de specifieke waarden van specifieke landgoederen. Men beantwoordt - liefst met betrokkenen - een lijst vragen op acht onderdelen: beleving ruimtelijke kwaliteit, natuur, kringlopen, economie, ondernemerschap, gastvrijheid, verbondenheid en gemeenschap, cultuur. De resultaten, gevisualiseerd in een cirkeldiagram, geven inzicht in hobbels, kuilen en kansen voor het onderhavige landgoed. Het diagram is als momentopname heel bruikbaar in gesprekken met overheden, maar ook tussen belanghebbenden onderling.</w:t>
        <w:br/>
        <w:t xml:space="preserve">In 2018 werd het Landgoedvenster doorontwikkeld tot een waardendiagram, vanuit het idee dat een duurzaam businessmodel niet alleen gaat over geld besparen en winst maken, maar ook over waarde toevoegen, ruilen en delen. Een dergelijk businessmodel, dat maatschappelijke impact en een veelvoud aan samenwerkingsvormen omvat, past bij het integraal werken op een landgoed. Zie ook </w:t>
      </w:r>
      <w:hyperlink r:id="rId2">
        <w:r>
          <w:rPr>
            <w:rStyle w:val="InternetLink"/>
            <w:i/>
            <w:iCs/>
            <w:color w:val="800000"/>
          </w:rPr>
          <w:t>https://businessmodellab.nl/en/tools/business-model-template</w:t>
        </w:r>
      </w:hyperlink>
      <w:r>
        <w:rPr/>
        <w:t xml:space="preserve"> </w:t>
      </w:r>
    </w:p>
    <w:p>
      <w:pPr>
        <w:pStyle w:val="NormalWeb"/>
        <w:numPr>
          <w:ilvl w:val="0"/>
          <w:numId w:val="1"/>
        </w:numPr>
        <w:spacing w:lineRule="auto" w:line="360" w:before="0" w:after="0"/>
        <w:rPr/>
      </w:pPr>
      <w:r>
        <w:rPr>
          <w:i/>
        </w:rPr>
        <w:t>Sensorisch landschap</w:t>
      </w:r>
      <w:r>
        <w:rPr/>
        <w:t xml:space="preserve"> is een project (in ontwikkeling op 130 percelen in Brabant, Gelderland en Overijssel, met meerjarige metingen op 10 percelen per provincie) dat beoogt door meting met nieuwe technieken harde gegevens boven water te krijgen over niet alleen de chemische samenstelling van een bodem, maar ook over </w:t>
      </w:r>
      <w:r>
        <w:rPr>
          <w:rFonts w:eastAsia="Times New Roman"/>
          <w:lang w:eastAsia="nl-NL"/>
        </w:rPr>
        <w:t>het bodemleven en de vochtregulering</w:t>
      </w:r>
      <w:r>
        <w:rPr/>
        <w:t>. Als men het effect van maatregelen om bodemvitaliteit te verbeteren wil monitoren en interpreteren, zijn dergelijke gegevens onmisbaar.</w:t>
      </w:r>
    </w:p>
    <w:p>
      <w:pPr>
        <w:pStyle w:val="NormalWeb"/>
        <w:numPr>
          <w:ilvl w:val="0"/>
          <w:numId w:val="1"/>
        </w:numPr>
        <w:spacing w:lineRule="auto" w:line="360" w:beforeAutospacing="0" w:before="0" w:afterAutospacing="0" w:after="0"/>
        <w:rPr/>
      </w:pPr>
      <w:r>
        <w:rPr/>
        <w:t xml:space="preserve">De </w:t>
      </w:r>
      <w:r>
        <w:rPr>
          <w:i/>
        </w:rPr>
        <w:t>landschapsecologische systeemanalyse</w:t>
      </w:r>
      <w:r>
        <w:rPr/>
        <w:t xml:space="preserve"> (LESA) levert kennis op over de geschiedenis van bodem, waterhuishouding en gebruik ter plekke, en bevat aanbevelingen om die kennis in te zetten voor een beter op de omstandigheden toegesneden grond- en watergebruik. Een LESA kan worden gebruikt om een ecosysteem te revitaliseren dat lijdt onder verschijnselen als verdroging, verzuring, wateroverlast of uitputting.</w:t>
      </w:r>
    </w:p>
    <w:p>
      <w:pPr>
        <w:pStyle w:val="NormalWeb"/>
        <w:numPr>
          <w:ilvl w:val="0"/>
          <w:numId w:val="1"/>
        </w:numPr>
        <w:spacing w:lineRule="auto" w:line="360" w:beforeAutospacing="0" w:before="0" w:afterAutospacing="0" w:after="0"/>
        <w:rPr/>
      </w:pPr>
      <w:r>
        <w:rPr>
          <w:i w:val="false"/>
          <w:iCs w:val="false"/>
        </w:rPr>
        <w:t>Het</w:t>
      </w:r>
      <w:r>
        <w:rPr>
          <w:i/>
        </w:rPr>
        <w:t xml:space="preserve"> toekomstbestendige pachtcontract</w:t>
      </w:r>
      <w:r>
        <w:rPr/>
        <w:t xml:space="preserve"> is ontworpen om in dialoog met pachters te werken aan bodemverbetering. De overeenkomst moet de pachter langetermijn-zekerheid bieden en verduurzaming stimuleren. Maatwerk en flexibiliteit zijn ingebouwd. Grond wordt verpacht voor minimaal 12 jaar, op voorwaarden die natuurinclusieve landbouw dichterbij brengen. Voldoen aan bepaalde, concreet geformuleerde criteria (bijvoorbeeld ‘geen kunstmest’, ‘aanplant van minimaal 50 bomen en struiken’) levert punten op, als de boer na 12 jaar minimaal 51 % van het totaal heeft behaald, wordt het contract verlengd. Na zorgvuldige overweging keurde de Grondkamer het pachtcontracht goed.</w:t>
      </w:r>
    </w:p>
    <w:p>
      <w:pPr>
        <w:pStyle w:val="NormalWeb"/>
        <w:numPr>
          <w:ilvl w:val="0"/>
          <w:numId w:val="0"/>
        </w:numPr>
        <w:spacing w:lineRule="auto" w:line="360" w:beforeAutospacing="0" w:before="0" w:afterAutospacing="0" w:after="0"/>
        <w:ind w:left="720" w:hanging="0"/>
        <w:rPr/>
      </w:pPr>
      <w:r>
        <w:rPr/>
      </w:r>
    </w:p>
    <w:p>
      <w:pPr>
        <w:pStyle w:val="NormalWeb"/>
        <w:numPr>
          <w:ilvl w:val="0"/>
          <w:numId w:val="1"/>
        </w:numPr>
        <w:spacing w:lineRule="auto" w:line="360" w:beforeAutospacing="0" w:before="0" w:afterAutospacing="0" w:after="0"/>
        <w:rPr/>
      </w:pPr>
      <w:r>
        <w:rPr/>
        <w:t xml:space="preserve">Het </w:t>
      </w:r>
      <w:r>
        <w:rPr>
          <w:i/>
          <w:iCs/>
        </w:rPr>
        <w:t xml:space="preserve">vloeiweidesysteem </w:t>
      </w:r>
      <w:r>
        <w:rPr/>
        <w:t xml:space="preserve">is een middeleeuws, aan de natuur aangepast systeem van bevloeiing en voeding van de bodem. Op Het Lankheet, waar ooit kalk- en mineralenrijk kwelwater van beken graslanden bevloeide en voedde, verdreef in de 20ste eeuw het gebruik van kunstmest deze gratis bodemverrijking. Om te voorkomen dat de kunstmest uitspoelde, werd water maximaal weggepompt. Het landschap verdroogde, in natte tijden ontstonden overstromingen. Biodiversiteit verdween. Na de restauratie van de vloeiweiden in 1999, met onder andere zuiveringsfilters en rietbedden en gebruik van het landschap voor waterretentie, </w:t>
      </w:r>
      <w:bookmarkStart w:id="0" w:name="_GoBack"/>
      <w:bookmarkEnd w:id="0"/>
      <w:r>
        <w:rPr/>
        <w:t>hebben bodem, waterhuishouding en biodiversiteit zich hersteld, waarvan eigenaren, pachters en recreanten profiteren. Met de integratie van ecologische, cultuurhistorische, economische en sociale aspecten belichamen de vloeiweiden het Soil4U gedachtegoed.</w:t>
      </w:r>
    </w:p>
    <w:p>
      <w:pPr>
        <w:pStyle w:val="NormalWeb"/>
        <w:numPr>
          <w:ilvl w:val="0"/>
          <w:numId w:val="1"/>
        </w:numPr>
        <w:spacing w:lineRule="auto" w:line="360" w:beforeAutospacing="0" w:before="0" w:afterAutospacing="0" w:after="0"/>
        <w:rPr/>
      </w:pPr>
      <w:r>
        <w:rPr>
          <w:i/>
        </w:rPr>
        <w:t>Voedsellandschap</w:t>
      </w:r>
      <w:r>
        <w:rPr/>
        <w:t xml:space="preserve"> is een concept van een landgoed als plek waar voedselproducerende bedrijven op een natuurinclusieve manier werken en al doende een kleinschalig ingericht landschap creëren dat vruchtbaar, duurzaam, biodivers en economisch rendabel is. Een plek die communiceert met de omgeving, waar gewerkt en geleerd wordt en het voor alle betrokkenen goed toeven is. Zo herbergt landgoed Grootstal onder andere een regeneratieve boerderij, een coöperatieve moestuin, een voedselbos in aanbouw, een streekproductenwinkel en een paviljoen voor bijeenkomsten. Meervoudig gebruik en samenwerking blijken de sleutel voor het ontstaan van synergie en maatschappelijke meerwaarde. Het landgoedmodel bewijst dat het geheel meer kan zijn dan de som der delen.</w:t>
      </w:r>
    </w:p>
    <w:p>
      <w:pPr>
        <w:pStyle w:val="NormalWeb"/>
        <w:numPr>
          <w:ilvl w:val="0"/>
          <w:numId w:val="1"/>
        </w:numPr>
        <w:spacing w:lineRule="auto" w:line="360" w:beforeAutospacing="0" w:before="0" w:afterAutospacing="0" w:after="0"/>
        <w:rPr/>
      </w:pPr>
      <w:r>
        <w:rPr/>
        <w:t xml:space="preserve">Het </w:t>
      </w:r>
      <w:r>
        <w:rPr>
          <w:i/>
        </w:rPr>
        <w:t>betalen van ecosysteemdiensten aan boeren</w:t>
      </w:r>
      <w:r>
        <w:rPr/>
        <w:t xml:space="preserve"> zoemt landelijk op alle niveaus rond, op landgoed Vilsteren wordt hiermee al een begin gemaakt. De gedachte erachter is simpel: boeren die de maatschappij een dienst bewijzen maar zelf productieverlies lijden door bijvoorbeeld stikstofreductie en klimaatadaptatie op hun bedrijven toe te passen, worden gecompenseerd. Fondsen voor klimaatadaptatie en bodemverbetering en misschien ook gelden bestemd voor uitkoop van agrarische bedrijven kunnen hiervoor worden ingezet.</w:t>
      </w:r>
    </w:p>
    <w:p>
      <w:pPr>
        <w:pStyle w:val="NormalWeb"/>
        <w:numPr>
          <w:ilvl w:val="0"/>
          <w:numId w:val="1"/>
        </w:numPr>
        <w:spacing w:lineRule="auto" w:line="360" w:beforeAutospacing="0" w:before="0" w:afterAutospacing="0" w:after="0"/>
        <w:rPr/>
      </w:pPr>
      <w:r>
        <w:rPr>
          <w:i/>
        </w:rPr>
        <w:t>Panorama Vechtdal</w:t>
      </w:r>
      <w:r>
        <w:rPr/>
        <w:t xml:space="preserve"> (in ontwikkeling) is geïnspireerd op Panorama Nederland, een toekomstvisie uit 2020 van de Rijksadviseurs voor de Leefomgeving. Vier opgaven staan centraal: energietransitie, woningbouw, klimaatadaptatie en kringlooplandbouw. Het Panorama bepleit vervlechting van rentmeester- en koopmanschap, en schetst zes handelingsperspectieven. Het leent zich goed als stramien voor gebiedsgericht programma's voor de inrichting van de leefomgeving; in Overijssel is men al energiek aan de slag met een ‘Panorama Vechtdal’.</w:t>
      </w:r>
    </w:p>
    <w:p>
      <w:pPr>
        <w:pStyle w:val="NormalWeb"/>
        <w:numPr>
          <w:ilvl w:val="0"/>
          <w:numId w:val="0"/>
        </w:numPr>
        <w:spacing w:lineRule="auto" w:line="360" w:beforeAutospacing="0" w:before="0" w:afterAutospacing="0" w:after="0"/>
        <w:ind w:left="720" w:hanging="0"/>
        <w:rPr/>
      </w:pPr>
      <w:r>
        <w:rPr/>
      </w:r>
    </w:p>
    <w:p>
      <w:pPr>
        <w:pStyle w:val="NormalWeb"/>
        <w:numPr>
          <w:ilvl w:val="0"/>
          <w:numId w:val="1"/>
        </w:numPr>
        <w:spacing w:lineRule="auto" w:line="360" w:beforeAutospacing="0" w:before="0" w:afterAutospacing="0" w:after="0"/>
        <w:rPr/>
      </w:pPr>
      <w:r>
        <w:rPr/>
        <w:t xml:space="preserve">Het </w:t>
      </w:r>
      <w:r>
        <w:rPr>
          <w:i/>
        </w:rPr>
        <w:t>Manifest Klimaatrobuuste Landgoederen</w:t>
      </w:r>
      <w:r>
        <w:rPr/>
        <w:t xml:space="preserve">, inmiddels ondertekend door 140 landgoederen met een gezamenlijk oppervlak van 150.000 ha, en de eruit voortgevloeide </w:t>
      </w:r>
      <w:r>
        <w:rPr>
          <w:i/>
        </w:rPr>
        <w:t>nationale boomplantactie</w:t>
      </w:r>
      <w:r>
        <w:rPr/>
        <w:t>, zijn niet alleen een concrete bijdrage aan klimaatadaptatie, maar ook een signaal naar de overheid. Soil4U en mede-initiatiefnemer FPG vragen de overheid op particuliere gronden maatregelen te faciliteren ter bestrijding van klimaatopwarming. De bereidheid op landgoederen is groot.</w:t>
      </w:r>
    </w:p>
    <w:p>
      <w:pPr>
        <w:pStyle w:val="NormalWeb"/>
        <w:numPr>
          <w:ilvl w:val="0"/>
          <w:numId w:val="1"/>
        </w:numPr>
        <w:spacing w:lineRule="auto" w:line="360" w:beforeAutospacing="0" w:before="0" w:afterAutospacing="0" w:after="0"/>
        <w:rPr/>
      </w:pPr>
      <w:r>
        <w:rPr/>
        <w:t xml:space="preserve">Januari 2021 hield  Soil4U haar eerste </w:t>
      </w:r>
      <w:r>
        <w:rPr>
          <w:i/>
        </w:rPr>
        <w:t>Community of Practice</w:t>
      </w:r>
      <w:r>
        <w:rPr/>
        <w:t xml:space="preserve"> (CoP) bijeenkomst voor landgoederen die bovengenoemd Manifest hebben onderschreven. Een nieuwe CoP is gepland in de lente en zal gaan over gebiedsgericht werken. In een CoP bijeenkomst ontmoet men elkaar, krijgt men informatie van experts en wisselt men onderling ervaringen, kennis en ideeën uit over de praktijk van beoogde transities. Het gaat om echte zoden aan een echte dijk; denk aan bomen planten, of een gebiedsproces in gang zetten rond duurzaam bodemgebruik.</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4"/>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nl-NL"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nl-NL" w:eastAsia="zh-CN" w:bidi="hi-IN"/>
    </w:rPr>
  </w:style>
  <w:style w:type="character" w:styleId="DefaultParagraphFont" w:default="1">
    <w:name w:val="Default Paragraph Font"/>
    <w:uiPriority w:val="1"/>
    <w:semiHidden/>
    <w:unhideWhenUsed/>
    <w:qFormat/>
    <w:rPr/>
  </w:style>
  <w:style w:type="character" w:styleId="Emphasis">
    <w:name w:val="Emphasis"/>
    <w:qFormat/>
    <w:rPr>
      <w:i/>
      <w:iCs/>
    </w:rPr>
  </w:style>
  <w:style w:type="character" w:styleId="InternetLink">
    <w:name w:val="Hyperlink"/>
    <w:rPr>
      <w:color w:val="000080"/>
      <w:u w:val="single"/>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NormalWeb">
    <w:name w:val="Normal (Web)"/>
    <w:basedOn w:val="Normal"/>
    <w:qFormat/>
    <w:pPr>
      <w:spacing w:beforeAutospacing="1" w:afterAutospacing="1"/>
    </w:pPr>
    <w:rPr>
      <w:rFonts w:eastAsia="Times New Roman"/>
      <w:lang w:eastAsia="nl-NL"/>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sinessmodellab.nl/en/tools/business-model-template"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Application>LibreOffice/7.0.6.2$Windows_X86_64 LibreOffice_project/144abb84a525d8e30c9dbbefa69cbbf2d8d4ae3b</Application>
  <AppVersion>15.0000</AppVersion>
  <Pages>3</Pages>
  <Words>864</Words>
  <Characters>5507</Characters>
  <CharactersWithSpaces>6352</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2021-04-14T11:23:00Z</dcterms:created>
  <dc:creator/>
  <dc:description/>
  <dc:language>nl-NL</dc:language>
  <cp:lastModifiedBy/>
  <dcterms:modified xsi:type="dcterms:W3CDTF">2021-06-17T17:08:14Z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